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EC4B" w14:textId="77777777" w:rsidR="003E0E2C" w:rsidRPr="002C16C6" w:rsidRDefault="005E316F" w:rsidP="002C16C6">
      <w:pPr>
        <w:rPr>
          <w:b/>
          <w:bCs/>
        </w:rPr>
      </w:pPr>
      <w:r w:rsidRPr="002C16C6">
        <w:rPr>
          <w:b/>
          <w:bCs/>
        </w:rPr>
        <w:t>COMPATIBILITY FLOW CHA</w:t>
      </w:r>
      <w:r w:rsidR="00E07F9C" w:rsidRPr="002C16C6">
        <w:rPr>
          <w:b/>
          <w:bCs/>
        </w:rPr>
        <w:t>R</w:t>
      </w:r>
      <w:r w:rsidRPr="002C16C6">
        <w:rPr>
          <w:b/>
          <w:bCs/>
        </w:rPr>
        <w:t xml:space="preserve">T FOR </w:t>
      </w:r>
      <w:r w:rsidR="002C16C6">
        <w:rPr>
          <w:b/>
          <w:bCs/>
        </w:rPr>
        <w:t xml:space="preserve">THE </w:t>
      </w:r>
      <w:r w:rsidRPr="002C16C6">
        <w:rPr>
          <w:b/>
          <w:bCs/>
        </w:rPr>
        <w:t>BODYGUARD T SYRINGE PUMP</w:t>
      </w:r>
      <w:r w:rsidR="002C16C6">
        <w:rPr>
          <w:b/>
          <w:bCs/>
        </w:rPr>
        <w:t xml:space="preserve">                     </w:t>
      </w:r>
      <w:r w:rsidR="002C16C6">
        <w:rPr>
          <w:b/>
          <w:bCs/>
          <w:noProof/>
        </w:rPr>
      </w:r>
      <w:r w:rsidR="002C16C6">
        <w:rPr>
          <w:b/>
          <w:bCs/>
        </w:rPr>
        <w:pict w14:anchorId="4EA97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width:75.75pt;height:54.75pt;mso-position-horizontal-relative:char;mso-position-vertical-relative:line">
            <v:imagedata r:id="rId7" o:title=""/>
            <w10:anchorlock/>
          </v:shape>
        </w:pict>
      </w:r>
    </w:p>
    <w:p w14:paraId="31EBD0FD" w14:textId="77777777" w:rsidR="005E316F" w:rsidRDefault="005E316F">
      <w:r>
        <w:t>Always seek advice from a pharmacist if you are unsure or need guidance</w:t>
      </w:r>
    </w:p>
    <w:p w14:paraId="3EBD4849" w14:textId="77777777" w:rsidR="005E316F" w:rsidRDefault="005E316F"/>
    <w:p w14:paraId="7E8AF235" w14:textId="77777777" w:rsidR="005E316F" w:rsidRDefault="005E316F">
      <w:r>
        <w:t xml:space="preserve">Is the combination </w:t>
      </w:r>
      <w:r w:rsidR="002C16C6">
        <w:t>prescribed</w:t>
      </w:r>
      <w:r>
        <w:t>:</w:t>
      </w:r>
    </w:p>
    <w:p w14:paraId="337AC55A" w14:textId="77777777" w:rsidR="005E316F" w:rsidRDefault="005E316F" w:rsidP="005E316F">
      <w:pPr>
        <w:numPr>
          <w:ilvl w:val="0"/>
          <w:numId w:val="1"/>
        </w:numPr>
      </w:pPr>
      <w:r>
        <w:t>In the AMOUNT you require (for EACH drug)</w:t>
      </w:r>
    </w:p>
    <w:p w14:paraId="07F1EF55" w14:textId="77777777" w:rsidR="005E316F" w:rsidRDefault="005E316F" w:rsidP="005E316F">
      <w:pPr>
        <w:numPr>
          <w:ilvl w:val="0"/>
          <w:numId w:val="1"/>
        </w:numPr>
      </w:pPr>
      <w:r>
        <w:t>In the VOLUME you require (</w:t>
      </w:r>
      <w:r w:rsidR="002C16C6">
        <w:t>m</w:t>
      </w:r>
      <w:r>
        <w:t>ax</w:t>
      </w:r>
      <w:r w:rsidR="002C16C6">
        <w:t>.</w:t>
      </w:r>
      <w:r>
        <w:t xml:space="preserve"> fill volume 22ml in 30ml syringe)</w:t>
      </w:r>
    </w:p>
    <w:p w14:paraId="677736FD" w14:textId="77777777" w:rsidR="005E316F" w:rsidRDefault="005E316F" w:rsidP="005E316F">
      <w:pPr>
        <w:numPr>
          <w:ilvl w:val="0"/>
          <w:numId w:val="1"/>
        </w:numPr>
      </w:pPr>
      <w:r>
        <w:t>In the DILUENT you require</w:t>
      </w:r>
    </w:p>
    <w:p w14:paraId="63858111" w14:textId="77777777" w:rsidR="005E316F" w:rsidRDefault="005E316F" w:rsidP="005E316F">
      <w:r w:rsidRPr="002C16C6">
        <w:rPr>
          <w:u w:val="single"/>
        </w:rPr>
        <w:t>Listed as compatible over 24 hours in</w:t>
      </w:r>
      <w:r>
        <w:t>:</w:t>
      </w:r>
    </w:p>
    <w:p w14:paraId="13B55E5E" w14:textId="77777777" w:rsidR="00CB1A96" w:rsidRDefault="00CB1A96" w:rsidP="005E316F"/>
    <w:p w14:paraId="2FF1F2EC" w14:textId="77777777" w:rsidR="00A92734" w:rsidRDefault="00CB1A96" w:rsidP="005E316F">
      <w:r>
        <w:rPr>
          <w:noProof/>
          <w:lang w:eastAsia="en-GB"/>
        </w:rPr>
        <w:pict w14:anchorId="574B2CC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25pt;margin-top:2.1pt;width:208.4pt;height:67.4pt;z-index:2516490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580C940F" w14:textId="77777777" w:rsidR="00CB1A96" w:rsidRDefault="00CB1A96" w:rsidP="00CB1A96">
                  <w:r>
                    <w:t>NHS Scot</w:t>
                  </w:r>
                  <w:r w:rsidR="00AC16B2">
                    <w:t>land</w:t>
                  </w:r>
                  <w:r>
                    <w:t xml:space="preserve"> Palliative Care Guidelines</w:t>
                  </w:r>
                </w:p>
                <w:p w14:paraId="7598D75E" w14:textId="77777777" w:rsidR="00CB1A96" w:rsidRDefault="00CB1A96" w:rsidP="00CB1A96">
                  <w:hyperlink r:id="rId8" w:history="1">
                    <w:r w:rsidRPr="007F71F2">
                      <w:rPr>
                        <w:rStyle w:val="Hyperlink"/>
                      </w:rPr>
                      <w:t>www.rightdecisions.scot.nhs.uk/scottish-palliative-care-guidelines</w:t>
                    </w:r>
                  </w:hyperlink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7A02E227">
          <v:shape id="_x0000_s1027" type="#_x0000_t202" style="position:absolute;margin-left:-2.25pt;margin-top:2.1pt;width:208.4pt;height:67.4pt;z-index:2516480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0AB540B1" w14:textId="77777777" w:rsidR="00CB1A96" w:rsidRDefault="00CB1A96" w:rsidP="00CB1A96">
                  <w:r>
                    <w:t>NHS Scottish Palliative Care Guidelines</w:t>
                  </w:r>
                </w:p>
                <w:p w14:paraId="667F7DE5" w14:textId="77777777" w:rsidR="00CB1A96" w:rsidRDefault="00CB1A96" w:rsidP="00CB1A96">
                  <w:hyperlink r:id="rId9" w:history="1">
                    <w:r w:rsidRPr="007F71F2">
                      <w:rPr>
                        <w:rStyle w:val="Hyperlink"/>
                      </w:rPr>
                      <w:t>www.rightdecisions.scot.nhs.uk/scottish-palliative-care-guidelines</w:t>
                    </w:r>
                  </w:hyperlink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="005E316F">
        <w:rPr>
          <w:noProof/>
        </w:rPr>
        <w:pict w14:anchorId="5BAAF404">
          <v:shape id="Text Box 2" o:spid="_x0000_s1026" type="#_x0000_t202" style="position:absolute;margin-left:-2.25pt;margin-top:2.1pt;width:208.4pt;height:67.4pt;z-index:2516469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5C6CD51B" w14:textId="77777777" w:rsidR="005E316F" w:rsidRDefault="005E316F">
                  <w:r>
                    <w:t>NHS Scottish Palliative Care Guidelines</w:t>
                  </w:r>
                </w:p>
                <w:p w14:paraId="56384FA3" w14:textId="77777777" w:rsidR="005E316F" w:rsidRDefault="00CB1A96">
                  <w:hyperlink r:id="rId10" w:history="1">
                    <w:r w:rsidRPr="007F71F2">
                      <w:rPr>
                        <w:rStyle w:val="Hyperlink"/>
                      </w:rPr>
                      <w:t>www.rightdecisions.scot.nhs.uk/scottish-palliative-care-guidelines</w:t>
                    </w:r>
                  </w:hyperlink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7001191B" w14:textId="77777777" w:rsidR="00A92734" w:rsidRPr="00A92734" w:rsidRDefault="00F83405" w:rsidP="00A92734">
      <w:r>
        <w:rPr>
          <w:noProof/>
        </w:rPr>
        <w:pict w14:anchorId="4860356A">
          <v:shape id="_x0000_s1046" type="#_x0000_t202" style="position:absolute;margin-left:45.55pt;margin-top:.55pt;width:36.75pt;height:25.2pt;z-index:251660288;visibility:visible;mso-wrap-distance-top:3.6pt;mso-wrap-distance-bottom:3.6pt;mso-width-relative:margin;mso-height-relative:margin" stroked="f">
            <v:textbox>
              <w:txbxContent>
                <w:p w14:paraId="39083617" w14:textId="77777777" w:rsidR="00F83405" w:rsidRDefault="00F83405">
                  <w:r>
                    <w:t>yes</w:t>
                  </w:r>
                </w:p>
              </w:txbxContent>
            </v:textbox>
            <w10:wrap type="square"/>
          </v:shape>
        </w:pict>
      </w:r>
      <w:r w:rsidR="00486E81">
        <w:rPr>
          <w:noProof/>
          <w:lang w:eastAsia="en-GB"/>
        </w:rPr>
        <w:pict w14:anchorId="2DEDF5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4.5pt;margin-top:16.9pt;width:93.9pt;height:25.05pt;z-index:251654144" o:connectortype="straight">
            <v:stroke endarrow="block"/>
          </v:shape>
        </w:pict>
      </w:r>
    </w:p>
    <w:p w14:paraId="752D04AF" w14:textId="77777777" w:rsidR="00A92734" w:rsidRPr="00A92734" w:rsidRDefault="00D37844" w:rsidP="00A92734">
      <w:r>
        <w:rPr>
          <w:noProof/>
        </w:rPr>
        <w:pict w14:anchorId="1D007DCF">
          <v:shape id="_x0000_s1037" type="#_x0000_t202" style="position:absolute;margin-left:99.15pt;margin-top:19.8pt;width:179.15pt;height:110.9pt;z-index:25165312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i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F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+QWioikCAABOBAAADgAAAAAAAAAAAAAAAAAuAgAAZHJzL2Uyb0Rv&#10;Yy54bWxQSwECLQAUAAYACAAAACEASFsnctsAAAAHAQAADwAAAAAAAAAAAAAAAACDBAAAZHJzL2Rv&#10;d25yZXYueG1sUEsFBgAAAAAEAAQA8wAAAIsFAAAAAA==&#10;">
            <v:textbox style="mso-fit-shape-to-text:t">
              <w:txbxContent>
                <w:p w14:paraId="7BD7BA7F" w14:textId="77777777" w:rsidR="00D37844" w:rsidRDefault="00D37844" w:rsidP="00D37844">
                  <w:r>
                    <w:t>Tick diluent on syringe pump CSCI prescription chart and sign for diluent</w:t>
                  </w:r>
                </w:p>
                <w:p w14:paraId="1E1AA176" w14:textId="77777777" w:rsidR="00D37844" w:rsidRDefault="00D37844" w:rsidP="00D37844">
                  <w:r>
                    <w:t>Note source of compatibility in compatibility box on CSCI chart and proceed with infusion</w:t>
                  </w:r>
                </w:p>
              </w:txbxContent>
            </v:textbox>
            <w10:wrap type="square"/>
          </v:shape>
        </w:pict>
      </w:r>
    </w:p>
    <w:p w14:paraId="5B19B2B8" w14:textId="77777777" w:rsidR="00A92734" w:rsidRPr="00A92734" w:rsidRDefault="000B32CD" w:rsidP="00A92734">
      <w:r>
        <w:rPr>
          <w:noProof/>
          <w:lang w:eastAsia="en-GB"/>
        </w:rPr>
        <w:pict w14:anchorId="36E73994">
          <v:shape id="_x0000_s1052" type="#_x0000_t202" style="position:absolute;margin-left:-143.5pt;margin-top:7.9pt;width:46.95pt;height:20.65pt;z-index:251663360" stroked="f">
            <v:textbox>
              <w:txbxContent>
                <w:p w14:paraId="62BA0189" w14:textId="77777777" w:rsidR="000B32CD" w:rsidRDefault="000B32CD">
                  <w:r>
                    <w:t>no</w:t>
                  </w:r>
                </w:p>
              </w:txbxContent>
            </v:textbox>
          </v:shape>
        </w:pict>
      </w:r>
      <w:r w:rsidR="00722C81">
        <w:rPr>
          <w:noProof/>
          <w:lang w:eastAsia="en-GB"/>
        </w:rPr>
        <w:pict w14:anchorId="5F98B243">
          <v:shape id="_x0000_s1040" type="#_x0000_t32" style="position:absolute;margin-left:-156.65pt;margin-top:5.1pt;width:0;height:30.05pt;z-index:251655168" o:connectortype="straight">
            <v:stroke endarrow="block"/>
          </v:shape>
        </w:pict>
      </w:r>
    </w:p>
    <w:p w14:paraId="03EA3482" w14:textId="77777777" w:rsidR="00A92734" w:rsidRPr="00A92734" w:rsidRDefault="000D4408" w:rsidP="00A92734">
      <w:r>
        <w:rPr>
          <w:noProof/>
        </w:rPr>
        <w:pict w14:anchorId="7FFBA9D3">
          <v:shape id="_x0000_s1029" type="#_x0000_t202" style="position:absolute;margin-left:0;margin-top:20.1pt;width:221.8pt;height:85.85pt;z-index:2516500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Q7KAIAAE4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Gx61qeC+ojMWhgbHAcSNy3YH5T02Nwldd/3zApK&#10;1AeN6iyz2SxMQzRm8xukkthrT3XtYZojVEk9JeN24+MERd7MPaq4lZHfIPeYySllbNpI+2nAwlRc&#10;2zHq129g/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hYZQ7KAIAAE4EAAAOAAAAAAAAAAAAAAAAAC4CAABkcnMvZTJvRG9j&#10;LnhtbFBLAQItABQABgAIAAAAIQBIWydy2wAAAAcBAAAPAAAAAAAAAAAAAAAAAIIEAABkcnMvZG93&#10;bnJldi54bWxQSwUGAAAAAAQABADzAAAAigUAAAAA&#10;">
            <v:textbox style="mso-next-textbox:#_x0000_s1029;mso-fit-shape-to-text:t">
              <w:txbxContent>
                <w:p w14:paraId="02D39CEE" w14:textId="77777777" w:rsidR="00CB1A96" w:rsidRDefault="00CB1A96">
                  <w:r>
                    <w:t xml:space="preserve">The Syringe Driver (Dickman) </w:t>
                  </w:r>
                  <w:r w:rsidR="00A92734">
                    <w:t>4</w:t>
                  </w:r>
                  <w:r w:rsidR="00A92734" w:rsidRPr="00A92734">
                    <w:rPr>
                      <w:vertAlign w:val="superscript"/>
                    </w:rPr>
                    <w:t>th</w:t>
                  </w:r>
                  <w:r w:rsidR="00A92734">
                    <w:t xml:space="preserve"> Edition</w:t>
                  </w:r>
                </w:p>
                <w:p w14:paraId="0B38122F" w14:textId="77777777" w:rsidR="000D4408" w:rsidRPr="000D4408" w:rsidRDefault="000D4408">
                  <w:pPr>
                    <w:rPr>
                      <w:sz w:val="18"/>
                      <w:szCs w:val="18"/>
                    </w:rPr>
                  </w:pPr>
                  <w:r w:rsidRPr="000D4408">
                    <w:rPr>
                      <w:sz w:val="18"/>
                      <w:szCs w:val="18"/>
                    </w:rPr>
                    <w:t>(copies kept by palliative care pharmacist/technicians, hospices, hospital medicines information centres, pharmacist in community pharmacy palliative care networks)</w:t>
                  </w:r>
                </w:p>
              </w:txbxContent>
            </v:textbox>
            <w10:wrap type="square"/>
          </v:shape>
        </w:pict>
      </w:r>
    </w:p>
    <w:p w14:paraId="4AED15C6" w14:textId="77777777" w:rsidR="00A92734" w:rsidRPr="00A92734" w:rsidRDefault="00284560" w:rsidP="00284560">
      <w:pPr>
        <w:tabs>
          <w:tab w:val="center" w:pos="751"/>
        </w:tabs>
      </w:pPr>
      <w:r>
        <w:rPr>
          <w:noProof/>
          <w:lang w:eastAsia="en-GB"/>
        </w:rPr>
        <w:pict w14:anchorId="74AEFCA9">
          <v:shape id="_x0000_s1050" type="#_x0000_t202" style="position:absolute;margin-left:18.7pt;margin-top:10.55pt;width:36.3pt;height:26.3pt;z-index:251661312" stroked="f">
            <v:textbox>
              <w:txbxContent>
                <w:p w14:paraId="007C2148" w14:textId="77777777" w:rsidR="00284560" w:rsidRDefault="00284560">
                  <w:r>
                    <w:t>yes</w:t>
                  </w:r>
                </w:p>
              </w:txbxContent>
            </v:textbox>
          </v:shape>
        </w:pict>
      </w:r>
      <w:r>
        <w:tab/>
      </w:r>
    </w:p>
    <w:p w14:paraId="04692FC4" w14:textId="77777777" w:rsidR="00A92734" w:rsidRDefault="00284560" w:rsidP="00A92734">
      <w:r>
        <w:rPr>
          <w:noProof/>
          <w:lang w:eastAsia="en-GB"/>
        </w:rPr>
        <w:pict w14:anchorId="781FC6B8">
          <v:shape id="_x0000_s1044" type="#_x0000_t32" style="position:absolute;margin-left:-2.35pt;margin-top:19.05pt;width:85.6pt;height:14.4pt;flip:y;z-index:251658240" o:connectortype="straight">
            <v:stroke endarrow="block"/>
          </v:shape>
        </w:pict>
      </w:r>
    </w:p>
    <w:p w14:paraId="525A15B8" w14:textId="77777777" w:rsidR="005E316F" w:rsidRPr="00A92734" w:rsidRDefault="002C16C6" w:rsidP="00A92734">
      <w:pPr>
        <w:ind w:firstLine="720"/>
      </w:pPr>
      <w:r>
        <w:rPr>
          <w:noProof/>
          <w:lang w:eastAsia="en-GB"/>
        </w:rPr>
        <w:pict w14:anchorId="76176D43">
          <v:shape id="_x0000_s1057" type="#_x0000_t202" style="position:absolute;left:0;text-align:left;margin-left:-287pt;margin-top:329.45pt;width:301.35pt;height:25pt;z-index:251667456">
            <v:textbox>
              <w:txbxContent>
                <w:p w14:paraId="14D8C0ED" w14:textId="77777777" w:rsidR="002C16C6" w:rsidRDefault="002C16C6">
                  <w:r>
                    <w:t>Reviewed November 2025, NHSGGC Palliative Care Pharmacists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7BC79D3F">
          <v:shape id="_x0000_s1055" type="#_x0000_t202" style="position:absolute;left:0;text-align:left;margin-left:48.85pt;margin-top:96.25pt;width:213.5pt;height:249.2pt;z-index:251666432" strokeweight="1.5pt">
            <v:stroke dashstyle="dash"/>
            <v:textbox>
              <w:txbxContent>
                <w:p w14:paraId="46CE1EF0" w14:textId="77777777" w:rsidR="00A56931" w:rsidRDefault="00A56931">
                  <w:r>
                    <w:t>*Maximum number of drugs to be mixed in one syringe is 3. In exceptional circumstances it may be possible to mix 4 drugs and this should be discussed with a pharmacist</w:t>
                  </w:r>
                </w:p>
                <w:p w14:paraId="6C85B779" w14:textId="77777777" w:rsidR="00A56931" w:rsidRDefault="00A56931">
                  <w:r>
                    <w:t>**if more than one diluent is listed, normally use water. Consider sodium chloride 0.9% if site irritation</w:t>
                  </w:r>
                  <w:r w:rsidR="002C16C6">
                    <w:t xml:space="preserve"> occurs</w:t>
                  </w:r>
                </w:p>
                <w:p w14:paraId="60DC9870" w14:textId="77777777" w:rsidR="00A56931" w:rsidRDefault="00A56931">
                  <w:r>
                    <w:t xml:space="preserve">*** Many of the combinations listed in these sources come from use in clinical practice and may reflect use on a single occasion; </w:t>
                  </w:r>
                  <w:r w:rsidR="002C16C6">
                    <w:t>c</w:t>
                  </w:r>
                  <w:r>
                    <w:t>lose attention to monitoring for compatibility, site problems, occlusion and infusion timing is essential.</w:t>
                  </w:r>
                </w:p>
                <w:p w14:paraId="09D0E7B8" w14:textId="77777777" w:rsidR="00A56931" w:rsidRDefault="00A56931"/>
              </w:txbxContent>
            </v:textbox>
          </v:shape>
        </w:pict>
      </w:r>
      <w:r>
        <w:rPr>
          <w:noProof/>
          <w:lang w:eastAsia="en-GB"/>
        </w:rPr>
        <w:pict w14:anchorId="33E8681B">
          <v:shape id="_x0000_s1043" type="#_x0000_t32" style="position:absolute;left:0;text-align:left;margin-left:-171.65pt;margin-top:175.25pt;width:0;height:39.75pt;z-index:251657216" o:connectortype="straight">
            <v:stroke endarrow="block"/>
          </v:shape>
        </w:pict>
      </w:r>
      <w:r>
        <w:rPr>
          <w:noProof/>
        </w:rPr>
        <w:pict w14:anchorId="75EEB523">
          <v:shape id="_x0000_s1031" type="#_x0000_t202" style="position:absolute;left:0;text-align:left;margin-left:-235.75pt;margin-top:216.4pt;width:222.6pt;height:110.9pt;z-index:2516520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 style="mso-next-textbox:#_x0000_s1031;mso-fit-shape-to-text:t">
              <w:txbxContent>
                <w:p w14:paraId="3A4798A1" w14:textId="77777777" w:rsidR="000D4408" w:rsidRDefault="000D4408">
                  <w:r>
                    <w:t xml:space="preserve">Seek further advice </w:t>
                  </w:r>
                  <w:r w:rsidR="00537048">
                    <w:t>e.g.</w:t>
                  </w:r>
                  <w:r>
                    <w:t xml:space="preserve"> Palliative care pharmacists/hospice/pharmacy medicines information centre</w:t>
                  </w:r>
                </w:p>
                <w:p w14:paraId="67B71BEC" w14:textId="77777777" w:rsidR="000D4408" w:rsidRDefault="000D4408">
                  <w:r>
                    <w:t>Consider (at any step) alternative medicines/additional pump/alternative routes or SC bolus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61A7FE0B">
          <v:shape id="_x0000_s1054" type="#_x0000_t202" style="position:absolute;left:0;text-align:left;margin-left:-159.6pt;margin-top:182.65pt;width:50.7pt;height:21.9pt;z-index:251665408" stroked="f">
            <v:textbox>
              <w:txbxContent>
                <w:p w14:paraId="69416784" w14:textId="77777777" w:rsidR="000B32CD" w:rsidRDefault="000B32CD"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 w14:anchorId="04C9CF6E">
          <v:shape id="_x0000_s1030" type="#_x0000_t202" style="position:absolute;left:0;text-align:left;margin-left:-231pt;margin-top:87.55pt;width:222.6pt;height:85.7pt;z-index:2516510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0">
              <w:txbxContent>
                <w:p w14:paraId="18CE65B1" w14:textId="77777777" w:rsidR="000D4408" w:rsidRDefault="00537048">
                  <w:r>
                    <w:t xml:space="preserve">Compatibility Checker on </w:t>
                  </w:r>
                  <w:r w:rsidR="000D4408">
                    <w:t>Medicines Complete</w:t>
                  </w:r>
                  <w:r w:rsidR="002C16C6">
                    <w:t xml:space="preserve">: </w:t>
                  </w:r>
                  <w:hyperlink r:id="rId11" w:history="1">
                    <w:r w:rsidR="002C16C6" w:rsidRPr="003D30BE">
                      <w:rPr>
                        <w:rStyle w:val="Hyperlink"/>
                      </w:rPr>
                      <w:t>https://www.medicinescomplete.com/#/compatibility</w:t>
                    </w:r>
                  </w:hyperlink>
                  <w:r w:rsidR="002C16C6">
                    <w:t xml:space="preserve"> (</w:t>
                  </w:r>
                  <w:r w:rsidR="000D4408">
                    <w:t xml:space="preserve">or via </w:t>
                  </w:r>
                  <w:r>
                    <w:t>C</w:t>
                  </w:r>
                  <w:r w:rsidR="000D4408">
                    <w:t xml:space="preserve">linical </w:t>
                  </w:r>
                  <w:r>
                    <w:t>P</w:t>
                  </w:r>
                  <w:r w:rsidR="000D4408">
                    <w:t xml:space="preserve">ortal </w:t>
                  </w:r>
                  <w:r>
                    <w:t>K</w:t>
                  </w:r>
                  <w:r w:rsidR="000D4408">
                    <w:t xml:space="preserve">nowledge </w:t>
                  </w:r>
                  <w:r>
                    <w:t>N</w:t>
                  </w:r>
                  <w:r w:rsidR="000D4408">
                    <w:t>etwork</w:t>
                  </w:r>
                  <w:r w:rsidR="002C16C6">
                    <w:t>)</w:t>
                  </w:r>
                </w:p>
              </w:txbxContent>
            </v:textbox>
            <w10:wrap type="square"/>
          </v:shape>
        </w:pict>
      </w:r>
      <w:r w:rsidR="000B32CD">
        <w:rPr>
          <w:noProof/>
          <w:lang w:eastAsia="en-GB"/>
        </w:rPr>
        <w:pict w14:anchorId="4D2763DC">
          <v:shape id="_x0000_s1053" type="#_x0000_t202" style="position:absolute;left:0;text-align:left;margin-left:-159.75pt;margin-top:50.1pt;width:29.45pt;height:28.15pt;z-index:251664384" stroked="f">
            <v:textbox>
              <w:txbxContent>
                <w:p w14:paraId="009B64AD" w14:textId="77777777" w:rsidR="000B32CD" w:rsidRDefault="000B32CD">
                  <w:r>
                    <w:t>no</w:t>
                  </w:r>
                </w:p>
              </w:txbxContent>
            </v:textbox>
          </v:shape>
        </w:pict>
      </w:r>
      <w:r w:rsidR="000B32CD">
        <w:rPr>
          <w:noProof/>
          <w:lang w:eastAsia="en-GB"/>
        </w:rPr>
        <w:pict w14:anchorId="7B2ED1E6">
          <v:shape id="_x0000_s1051" type="#_x0000_t202" style="position:absolute;left:0;text-align:left;margin-left:22.45pt;margin-top:55.05pt;width:30.05pt;height:22.5pt;z-index:251662336" stroked="f">
            <v:textbox>
              <w:txbxContent>
                <w:p w14:paraId="02386B85" w14:textId="77777777" w:rsidR="000B32CD" w:rsidRDefault="000B32CD">
                  <w:r>
                    <w:t>yes</w:t>
                  </w:r>
                </w:p>
              </w:txbxContent>
            </v:textbox>
          </v:shape>
        </w:pict>
      </w:r>
      <w:r w:rsidR="00421106">
        <w:rPr>
          <w:noProof/>
          <w:lang w:eastAsia="en-GB"/>
        </w:rPr>
        <w:pict w14:anchorId="4E3762BC">
          <v:shape id="_x0000_s1045" type="#_x0000_t32" style="position:absolute;left:0;text-align:left;margin-left:-4.5pt;margin-top:26.55pt;width:137.75pt;height:98.3pt;flip:y;z-index:251659264" o:connectortype="straight">
            <v:stroke endarrow="block"/>
          </v:shape>
        </w:pict>
      </w:r>
      <w:r w:rsidR="00722C81">
        <w:rPr>
          <w:noProof/>
          <w:lang w:eastAsia="en-GB"/>
        </w:rPr>
        <w:pict w14:anchorId="3DD39BA4">
          <v:shape id="_x0000_s1041" type="#_x0000_t32" style="position:absolute;left:0;text-align:left;margin-left:-171pt;margin-top:39pt;width:0;height:47.7pt;z-index:251656192" o:connectortype="straight">
            <v:stroke endarrow="block"/>
          </v:shape>
        </w:pict>
      </w:r>
    </w:p>
    <w:sectPr w:rsidR="005E316F" w:rsidRPr="00A9273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CC7D" w14:textId="77777777" w:rsidR="00D96663" w:rsidRDefault="00D96663" w:rsidP="002C16C6">
      <w:pPr>
        <w:spacing w:after="0" w:line="240" w:lineRule="auto"/>
      </w:pPr>
      <w:r>
        <w:separator/>
      </w:r>
    </w:p>
  </w:endnote>
  <w:endnote w:type="continuationSeparator" w:id="0">
    <w:p w14:paraId="61AC40D7" w14:textId="77777777" w:rsidR="00D96663" w:rsidRDefault="00D96663" w:rsidP="002C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2E7" w14:textId="77777777" w:rsidR="002C16C6" w:rsidRDefault="002C16C6">
    <w:pPr>
      <w:pStyle w:val="Footer"/>
    </w:pPr>
    <w:r>
      <w:t>[Type here]</w:t>
    </w:r>
  </w:p>
  <w:p w14:paraId="53C5E518" w14:textId="77777777" w:rsidR="002C16C6" w:rsidRDefault="002C16C6">
    <w:pPr>
      <w:pStyle w:val="Footer"/>
    </w:pPr>
  </w:p>
  <w:p w14:paraId="69F2A701" w14:textId="77777777" w:rsidR="002C16C6" w:rsidRDefault="002C16C6">
    <w:pPr>
      <w:pStyle w:val="Footer"/>
    </w:pPr>
  </w:p>
  <w:p w14:paraId="1CFDB0AD" w14:textId="77777777" w:rsidR="002C16C6" w:rsidRDefault="002C16C6">
    <w:pPr>
      <w:pStyle w:val="Footer"/>
    </w:pPr>
  </w:p>
  <w:p w14:paraId="4B6F921F" w14:textId="77777777" w:rsidR="002C16C6" w:rsidRDefault="002C16C6">
    <w:pPr>
      <w:pStyle w:val="Footer"/>
    </w:pPr>
  </w:p>
  <w:p w14:paraId="12458EB9" w14:textId="77777777" w:rsidR="002C16C6" w:rsidRDefault="002C16C6">
    <w:pPr>
      <w:pStyle w:val="Footer"/>
    </w:pPr>
  </w:p>
  <w:p w14:paraId="1181126C" w14:textId="77777777" w:rsidR="002C16C6" w:rsidRDefault="002C16C6">
    <w:pPr>
      <w:pStyle w:val="Footer"/>
    </w:pPr>
  </w:p>
  <w:p w14:paraId="1FAC6A17" w14:textId="77777777" w:rsidR="002C16C6" w:rsidRDefault="002C1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4DE9" w14:textId="77777777" w:rsidR="00D96663" w:rsidRDefault="00D96663" w:rsidP="002C16C6">
      <w:pPr>
        <w:spacing w:after="0" w:line="240" w:lineRule="auto"/>
      </w:pPr>
      <w:r>
        <w:separator/>
      </w:r>
    </w:p>
  </w:footnote>
  <w:footnote w:type="continuationSeparator" w:id="0">
    <w:p w14:paraId="0FB88615" w14:textId="77777777" w:rsidR="00D96663" w:rsidRDefault="00D96663" w:rsidP="002C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C91"/>
    <w:multiLevelType w:val="hybridMultilevel"/>
    <w:tmpl w:val="478C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F0D2C"/>
    <w:multiLevelType w:val="hybridMultilevel"/>
    <w:tmpl w:val="F1E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88519">
    <w:abstractNumId w:val="0"/>
  </w:num>
  <w:num w:numId="2" w16cid:durableId="176653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6F"/>
    <w:rsid w:val="00053D8E"/>
    <w:rsid w:val="000B32CD"/>
    <w:rsid w:val="000D4408"/>
    <w:rsid w:val="00284560"/>
    <w:rsid w:val="00295A4F"/>
    <w:rsid w:val="002C16C6"/>
    <w:rsid w:val="002D2A85"/>
    <w:rsid w:val="003E0E2C"/>
    <w:rsid w:val="00421106"/>
    <w:rsid w:val="0043120A"/>
    <w:rsid w:val="00486E81"/>
    <w:rsid w:val="00537048"/>
    <w:rsid w:val="005E316F"/>
    <w:rsid w:val="00722C81"/>
    <w:rsid w:val="00A56931"/>
    <w:rsid w:val="00A92734"/>
    <w:rsid w:val="00AC16B2"/>
    <w:rsid w:val="00CB1A96"/>
    <w:rsid w:val="00D37844"/>
    <w:rsid w:val="00D96663"/>
    <w:rsid w:val="00E07F9C"/>
    <w:rsid w:val="00F64D2C"/>
    <w:rsid w:val="00F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3"/>
        <o:r id="V:Rule5" type="connector" idref="#_x0000_s1044"/>
        <o:r id="V:Rule6" type="connector" idref="#_x0000_s1045"/>
      </o:rules>
    </o:shapelayout>
  </w:shapeDefaults>
  <w:decimalSymbol w:val="."/>
  <w:listSeparator w:val=","/>
  <w14:docId w14:val="382D0148"/>
  <w15:chartTrackingRefBased/>
  <w15:docId w15:val="{BEE9C653-D1A4-4659-B1CA-BB173DB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1A96"/>
    <w:rPr>
      <w:color w:val="0563C1"/>
      <w:u w:val="single"/>
    </w:rPr>
  </w:style>
  <w:style w:type="paragraph" w:styleId="Revision">
    <w:name w:val="Revision"/>
    <w:hidden/>
    <w:uiPriority w:val="99"/>
    <w:semiHidden/>
    <w:rsid w:val="00E07F9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2C16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16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1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16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16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ghtdecisions.scot.nhs.uk/scottish-palliative-care-guidelin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inescomplete.com/#/compatibilit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ightdecisions.scot.nhs.uk/scottish-palliative-care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ghtdecisions.scot.nhs.uk/scottish-palliative-care-guidelin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415</CharactersWithSpaces>
  <SharedDoc>false</SharedDoc>
  <HLinks>
    <vt:vector size="24" baseType="variant">
      <vt:variant>
        <vt:i4>5177368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</vt:lpwstr>
      </vt:variant>
      <vt:variant>
        <vt:lpwstr>/compatibility</vt:lpwstr>
      </vt:variant>
      <vt:variant>
        <vt:i4>1048671</vt:i4>
      </vt:variant>
      <vt:variant>
        <vt:i4>6</vt:i4>
      </vt:variant>
      <vt:variant>
        <vt:i4>0</vt:i4>
      </vt:variant>
      <vt:variant>
        <vt:i4>5</vt:i4>
      </vt:variant>
      <vt:variant>
        <vt:lpwstr>http://www.rightdecisions.scot.nhs.uk/scottish-palliative-care-guidelines</vt:lpwstr>
      </vt:variant>
      <vt:variant>
        <vt:lpwstr/>
      </vt:variant>
      <vt:variant>
        <vt:i4>1048671</vt:i4>
      </vt:variant>
      <vt:variant>
        <vt:i4>3</vt:i4>
      </vt:variant>
      <vt:variant>
        <vt:i4>0</vt:i4>
      </vt:variant>
      <vt:variant>
        <vt:i4>5</vt:i4>
      </vt:variant>
      <vt:variant>
        <vt:lpwstr>http://www.rightdecisions.scot.nhs.uk/scottish-palliative-care-guidelines</vt:lpwstr>
      </vt:variant>
      <vt:variant>
        <vt:lpwstr/>
      </vt:variant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http://www.rightdecisions.scot.nhs.uk/scottish-palliative-care-guidelines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Addie, Susan</dc:creator>
  <cp:keywords/>
  <dc:description/>
  <cp:lastModifiedBy>Paul Corrigan (NHS Greater Glasgow and Clyde)</cp:lastModifiedBy>
  <cp:revision>2</cp:revision>
  <dcterms:created xsi:type="dcterms:W3CDTF">2025-11-27T10:54:00Z</dcterms:created>
  <dcterms:modified xsi:type="dcterms:W3CDTF">2025-11-27T10:54:00Z</dcterms:modified>
</cp:coreProperties>
</file>